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C2" w:rsidRDefault="003A55C2" w:rsidP="003A55C2">
      <w:pPr>
        <w:rPr>
          <w:color w:val="7030A0"/>
          <w:sz w:val="32"/>
          <w:szCs w:val="32"/>
        </w:rPr>
      </w:pPr>
      <w:r>
        <w:rPr>
          <w:color w:val="7030A0"/>
          <w:sz w:val="32"/>
          <w:szCs w:val="32"/>
        </w:rPr>
        <w:t>ANEXO 12 – CAMARA</w:t>
      </w:r>
    </w:p>
    <w:p w:rsidR="003A55C2" w:rsidRDefault="003A55C2" w:rsidP="003A55C2">
      <w:r>
        <w:t xml:space="preserve">Os dados apresentados compreendem os órgãos da Administração Direta do Município, no que tange à previsão e execução das receitas e despesas orçamentárias, cujo detalhamento atende as especificações da Portaria Interministerial STN/SOF nº 163/2001 e respectivas alterações, de igual forma, foram observados os detalhamentos estabelecidos pelo TCE. </w:t>
      </w:r>
      <w:bookmarkStart w:id="0" w:name="_GoBack"/>
      <w:bookmarkEnd w:id="0"/>
      <w:r>
        <w:t>Os restos a pagar do RPPS foram classificados em Processados e Não Processados em conformidade a IN 18/15 e considerando os preceitos do TCE de acordo com a lei 101/2000.</w:t>
      </w:r>
    </w:p>
    <w:p w:rsidR="003A55C2" w:rsidRDefault="003A55C2" w:rsidP="003A55C2">
      <w:r>
        <w:t>As receitas provem de Duodécimo repassado pelo Poder Executivo.</w:t>
      </w:r>
    </w:p>
    <w:p w:rsidR="003A55C2" w:rsidRDefault="003A55C2" w:rsidP="003A55C2">
      <w:r>
        <w:t>Acesse as demais notas explicativas no endereço:</w:t>
      </w:r>
    </w:p>
    <w:p w:rsidR="003A55C2" w:rsidRDefault="003A55C2" w:rsidP="003A55C2">
      <w:hyperlink r:id="rId4" w:history="1">
        <w:r w:rsidRPr="00BA527C">
          <w:rPr>
            <w:rStyle w:val="Hyperlink"/>
          </w:rPr>
          <w:t>https://www.saomartinho.rs.gov.br</w:t>
        </w:r>
      </w:hyperlink>
    </w:p>
    <w:p w:rsidR="00194686" w:rsidRDefault="00194686"/>
    <w:p w:rsidR="003A55C2" w:rsidRDefault="003A55C2" w:rsidP="003A55C2">
      <w:r w:rsidRPr="00E4149D">
        <w:rPr>
          <w:color w:val="7030A0"/>
          <w:sz w:val="32"/>
          <w:szCs w:val="32"/>
        </w:rPr>
        <w:t>Anexo 13 – Financeiro Câmara</w:t>
      </w:r>
    </w:p>
    <w:p w:rsidR="003A55C2" w:rsidRDefault="003A55C2" w:rsidP="003A55C2">
      <w:r w:rsidRPr="004F725C">
        <w:t xml:space="preserve">Os repasses financeiros </w:t>
      </w:r>
      <w:r>
        <w:t>na forma de Duodécimo feito pelo</w:t>
      </w:r>
      <w:r w:rsidRPr="004F725C">
        <w:t xml:space="preserve"> Poder Executivo </w:t>
      </w:r>
      <w:r>
        <w:t>ocorreu dentro do prazo, foi</w:t>
      </w:r>
      <w:r w:rsidRPr="004F725C">
        <w:t xml:space="preserve"> registrado</w:t>
      </w:r>
      <w:r>
        <w:t xml:space="preserve"> </w:t>
      </w:r>
      <w:r w:rsidRPr="004F725C">
        <w:t>nas devidas contas contábeis</w:t>
      </w:r>
      <w:r>
        <w:t>, cuja sobra de recurso foi devolvida ao Executivo, deixando saldo suficiente para honrar com os restos processados resultando ainda em pequeno saldo remanescente que foi considerado como antecipação de duodécimo de 2020. O poder Legislativo devolveu ao final do exercício o montante de R$ 578.000,00 ao Executivo.</w:t>
      </w:r>
    </w:p>
    <w:p w:rsidR="003A55C2" w:rsidRDefault="003A55C2" w:rsidP="003A55C2">
      <w:r>
        <w:t>Acesse as demais notas explicativas no endereço:</w:t>
      </w:r>
    </w:p>
    <w:p w:rsidR="003A55C2" w:rsidRDefault="003A55C2" w:rsidP="003A55C2">
      <w:hyperlink r:id="rId5" w:history="1">
        <w:r w:rsidRPr="00BA527C">
          <w:rPr>
            <w:rStyle w:val="Hyperlink"/>
          </w:rPr>
          <w:t>https://www.saomartinho.rs.gov.br</w:t>
        </w:r>
      </w:hyperlink>
    </w:p>
    <w:p w:rsidR="003A55C2" w:rsidRDefault="003A55C2"/>
    <w:p w:rsidR="003A55C2" w:rsidRPr="00343162" w:rsidRDefault="003A55C2" w:rsidP="003A55C2">
      <w:pPr>
        <w:rPr>
          <w:color w:val="7030A0"/>
          <w:sz w:val="32"/>
          <w:szCs w:val="32"/>
        </w:rPr>
      </w:pPr>
      <w:r w:rsidRPr="00343162">
        <w:rPr>
          <w:color w:val="7030A0"/>
          <w:sz w:val="32"/>
          <w:szCs w:val="32"/>
        </w:rPr>
        <w:t>Anexo 14 – Camara</w:t>
      </w:r>
    </w:p>
    <w:p w:rsidR="003A55C2" w:rsidRDefault="003A55C2" w:rsidP="003A55C2">
      <w:r>
        <w:t>O</w:t>
      </w:r>
      <w:r w:rsidRPr="0049123C">
        <w:t xml:space="preserve"> Município de São Martinho, entidade jurídica de direito público, é compreendid</w:t>
      </w:r>
      <w:r>
        <w:t>o</w:t>
      </w:r>
      <w:r w:rsidRPr="0049123C">
        <w:t>, na Administração Direta, pelos órgãos sem personalidade jurídica do Poder Executivo, composto por secretarias municipais, Fundos Especiais e o Poder Legislativo.</w:t>
      </w:r>
    </w:p>
    <w:p w:rsidR="003A55C2" w:rsidRDefault="003A55C2" w:rsidP="003A55C2">
      <w:r w:rsidRPr="0049123C">
        <w:t xml:space="preserve">Apresentação das Demonstrações contábeis: O Balanço Patrimonial e demais demonstrações contábeis foram elaboradas em observância com os dispositivos legais que regulam o assunto, em especial a Lei nº 4320/64, a Lei complementar nº 101/2000, os Princípios de Contabilidade, as </w:t>
      </w:r>
      <w:proofErr w:type="spellStart"/>
      <w:r w:rsidRPr="0049123C">
        <w:t>NBCTs</w:t>
      </w:r>
      <w:proofErr w:type="spellEnd"/>
      <w:r w:rsidRPr="0049123C">
        <w:t>, o MCASP e demais disposições normativas vigentes.</w:t>
      </w:r>
    </w:p>
    <w:p w:rsidR="003A55C2" w:rsidRDefault="003A55C2" w:rsidP="003A55C2">
      <w:r w:rsidRPr="0049123C">
        <w:t xml:space="preserve">Aplicações Temporárias a Curto Prazo: os saldos </w:t>
      </w:r>
      <w:r>
        <w:t>financeiros foram aplicados e os rendimentos devolvidos ao Executivo e/ou considerados como duodécimo.</w:t>
      </w:r>
    </w:p>
    <w:p w:rsidR="003A55C2" w:rsidRDefault="003A55C2" w:rsidP="003A55C2">
      <w:r w:rsidRPr="0049123C">
        <w:t xml:space="preserve">Os bens adquiridos foram incorporados ao Patrimonio e depreciados em consonância as tabelas e vida útil. </w:t>
      </w:r>
      <w:r>
        <w:t xml:space="preserve">A conta estoques e mercadorias em transito sofreu ajuste, vários exercícios </w:t>
      </w:r>
      <w:r>
        <w:lastRenderedPageBreak/>
        <w:t>foram relacionados as despesas de obras 449051 como mercadorias em transito e não transferido para VPD em tempo hábil, assim que foi constatado, foi registrado como ajuste.</w:t>
      </w:r>
    </w:p>
    <w:p w:rsidR="003A55C2" w:rsidRDefault="003A55C2" w:rsidP="003A55C2">
      <w:r>
        <w:t>Acesse as demais notas explicativas no endereço:</w:t>
      </w:r>
    </w:p>
    <w:p w:rsidR="003A55C2" w:rsidRDefault="003A55C2" w:rsidP="003A55C2">
      <w:hyperlink r:id="rId6" w:history="1">
        <w:r w:rsidRPr="00BA527C">
          <w:rPr>
            <w:rStyle w:val="Hyperlink"/>
          </w:rPr>
          <w:t>https://www.saomartinho.rs.gov.br</w:t>
        </w:r>
      </w:hyperlink>
    </w:p>
    <w:p w:rsidR="003A55C2" w:rsidRDefault="003A55C2" w:rsidP="003A55C2"/>
    <w:p w:rsidR="003A55C2" w:rsidRPr="00F06053" w:rsidRDefault="003A55C2" w:rsidP="003A55C2">
      <w:pPr>
        <w:spacing w:after="0" w:line="240" w:lineRule="auto"/>
        <w:jc w:val="both"/>
        <w:rPr>
          <w:rFonts w:ascii="Calibri" w:eastAsia="Times New Roman" w:hAnsi="Calibri" w:cs="Arial"/>
          <w:color w:val="FF0000"/>
          <w:sz w:val="32"/>
          <w:szCs w:val="32"/>
          <w:lang w:eastAsia="pt-BR"/>
        </w:rPr>
      </w:pPr>
      <w:r w:rsidRPr="00F06053">
        <w:rPr>
          <w:rFonts w:ascii="Calibri" w:eastAsia="Times New Roman" w:hAnsi="Calibri" w:cs="Arial"/>
          <w:color w:val="FF0000"/>
          <w:sz w:val="32"/>
          <w:szCs w:val="32"/>
          <w:lang w:eastAsia="pt-BR"/>
        </w:rPr>
        <w:t>Anexo 15 – CAMARA</w:t>
      </w:r>
    </w:p>
    <w:p w:rsidR="003A55C2" w:rsidRDefault="003A55C2" w:rsidP="003A55C2">
      <w:pPr>
        <w:spacing w:after="0" w:line="240" w:lineRule="auto"/>
        <w:jc w:val="both"/>
        <w:rPr>
          <w:rFonts w:ascii="Calibri" w:eastAsia="Times New Roman" w:hAnsi="Calibri" w:cs="Arial"/>
          <w:lang w:eastAsia="pt-BR"/>
        </w:rPr>
      </w:pPr>
    </w:p>
    <w:p w:rsidR="003A55C2" w:rsidRDefault="003A55C2" w:rsidP="003A55C2">
      <w:pPr>
        <w:spacing w:after="0" w:line="240" w:lineRule="auto"/>
        <w:jc w:val="both"/>
        <w:rPr>
          <w:rFonts w:eastAsia="Times New Roman" w:cs="Arial"/>
          <w:bCs/>
          <w:lang w:eastAsia="pt-BR"/>
        </w:rPr>
      </w:pPr>
      <w:r>
        <w:rPr>
          <w:rFonts w:ascii="Calibri" w:eastAsia="Times New Roman" w:hAnsi="Calibri" w:cs="Arial"/>
          <w:lang w:eastAsia="pt-BR"/>
        </w:rPr>
        <w:t>As variações Patrimoniais foram devidamente contabilizadas considerando os</w:t>
      </w:r>
      <w:r w:rsidRPr="00C3691D">
        <w:rPr>
          <w:rFonts w:eastAsia="Times New Roman" w:cs="Arial"/>
          <w:bCs/>
          <w:lang w:eastAsia="pt-BR"/>
        </w:rPr>
        <w:t xml:space="preserve"> padrões de contabilidade estabelecido pelas NBCASP, e de acordo com o MCASP</w:t>
      </w:r>
      <w:r>
        <w:rPr>
          <w:rFonts w:eastAsia="Times New Roman" w:cs="Arial"/>
          <w:bCs/>
          <w:lang w:eastAsia="pt-BR"/>
        </w:rPr>
        <w:t>, e no encerramento do exercício o Poder Legislativo apresentou resultado Patrimonial satisfatório.</w:t>
      </w:r>
    </w:p>
    <w:p w:rsidR="003A55C2" w:rsidRDefault="003A55C2" w:rsidP="003A55C2">
      <w:r>
        <w:t>Acesse as demais notas explicativas no endereço:</w:t>
      </w:r>
    </w:p>
    <w:p w:rsidR="003A55C2" w:rsidRDefault="003A55C2" w:rsidP="003A55C2">
      <w:hyperlink r:id="rId7" w:history="1">
        <w:r w:rsidRPr="00BA527C">
          <w:rPr>
            <w:rStyle w:val="Hyperlink"/>
          </w:rPr>
          <w:t>https://www.saomartinho.rs.gov.br</w:t>
        </w:r>
      </w:hyperlink>
    </w:p>
    <w:p w:rsidR="003A55C2" w:rsidRDefault="003A55C2" w:rsidP="003A55C2">
      <w:pPr>
        <w:spacing w:after="0" w:line="240" w:lineRule="auto"/>
        <w:jc w:val="both"/>
        <w:rPr>
          <w:rFonts w:ascii="Calibri" w:eastAsia="Times New Roman" w:hAnsi="Calibri" w:cs="Arial"/>
          <w:lang w:eastAsia="pt-BR"/>
        </w:rPr>
      </w:pPr>
    </w:p>
    <w:p w:rsidR="003A55C2" w:rsidRDefault="003A55C2" w:rsidP="003A55C2"/>
    <w:p w:rsidR="003A55C2" w:rsidRDefault="003A55C2"/>
    <w:sectPr w:rsidR="003A55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C2"/>
    <w:rsid w:val="00194686"/>
    <w:rsid w:val="003A5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4B93"/>
  <w15:chartTrackingRefBased/>
  <w15:docId w15:val="{591001B6-F017-4FC4-8C83-B2AC7EC1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5C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A5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4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omartinho.rs.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omartinho.rs.gov.br" TargetMode="External"/><Relationship Id="rId5" Type="http://schemas.openxmlformats.org/officeDocument/2006/relationships/hyperlink" Target="https://www.saomartinho.rs.gov.br" TargetMode="External"/><Relationship Id="rId4" Type="http://schemas.openxmlformats.org/officeDocument/2006/relationships/hyperlink" Target="https://www.saomartinho.rs.gov.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1</cp:revision>
  <dcterms:created xsi:type="dcterms:W3CDTF">2021-03-23T11:17:00Z</dcterms:created>
  <dcterms:modified xsi:type="dcterms:W3CDTF">2021-03-23T11:19:00Z</dcterms:modified>
</cp:coreProperties>
</file>